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C1" w:rsidRDefault="004A5756" w:rsidP="00B16168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85BC1">
        <w:rPr>
          <w:rFonts w:ascii="方正小标宋简体" w:eastAsia="方正小标宋简体" w:hint="eastAsia"/>
          <w:sz w:val="44"/>
          <w:szCs w:val="44"/>
        </w:rPr>
        <w:t>湖南省</w:t>
      </w:r>
      <w:r w:rsidR="00FA3CBB">
        <w:rPr>
          <w:rFonts w:ascii="方正小标宋简体" w:eastAsia="方正小标宋简体" w:hint="eastAsia"/>
          <w:sz w:val="44"/>
          <w:szCs w:val="44"/>
        </w:rPr>
        <w:t>中医药管理局</w:t>
      </w:r>
    </w:p>
    <w:p w:rsidR="004A5756" w:rsidRPr="00C85BC1" w:rsidRDefault="004A5756" w:rsidP="00B16168"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C85BC1">
        <w:rPr>
          <w:rFonts w:ascii="方正小标宋简体" w:eastAsia="方正小标宋简体" w:hint="eastAsia"/>
          <w:sz w:val="44"/>
          <w:szCs w:val="44"/>
        </w:rPr>
        <w:t>20</w:t>
      </w:r>
      <w:r w:rsidR="00765D6F">
        <w:rPr>
          <w:rFonts w:ascii="方正小标宋简体" w:eastAsia="方正小标宋简体" w:hint="eastAsia"/>
          <w:sz w:val="44"/>
          <w:szCs w:val="44"/>
        </w:rPr>
        <w:t>20</w:t>
      </w:r>
      <w:r w:rsidRPr="00C85BC1">
        <w:rPr>
          <w:rFonts w:ascii="方正小标宋简体" w:eastAsia="方正小标宋简体" w:hint="eastAsia"/>
          <w:sz w:val="44"/>
          <w:szCs w:val="44"/>
        </w:rPr>
        <w:t>年</w:t>
      </w:r>
      <w:r w:rsidR="009B65AC">
        <w:rPr>
          <w:rFonts w:ascii="方正小标宋简体" w:eastAsia="方正小标宋简体" w:hint="eastAsia"/>
          <w:sz w:val="44"/>
          <w:szCs w:val="44"/>
        </w:rPr>
        <w:t>度</w:t>
      </w:r>
      <w:r w:rsidR="00550BBD" w:rsidRPr="00C85BC1">
        <w:rPr>
          <w:rFonts w:ascii="方正小标宋简体" w:eastAsia="方正小标宋简体" w:hint="eastAsia"/>
          <w:sz w:val="44"/>
          <w:szCs w:val="44"/>
        </w:rPr>
        <w:t>政府信息</w:t>
      </w:r>
      <w:r w:rsidR="00356A4B" w:rsidRPr="00C85BC1">
        <w:rPr>
          <w:rFonts w:ascii="方正小标宋简体" w:eastAsia="方正小标宋简体" w:hint="eastAsia"/>
          <w:sz w:val="44"/>
          <w:szCs w:val="44"/>
        </w:rPr>
        <w:t>公开工作</w:t>
      </w:r>
      <w:r w:rsidRPr="00C85BC1">
        <w:rPr>
          <w:rFonts w:ascii="方正小标宋简体" w:eastAsia="方正小标宋简体" w:hint="eastAsia"/>
          <w:sz w:val="44"/>
          <w:szCs w:val="44"/>
        </w:rPr>
        <w:t>报告</w:t>
      </w:r>
    </w:p>
    <w:p w:rsidR="004A5756" w:rsidRDefault="004A5756" w:rsidP="0043606C"/>
    <w:p w:rsidR="007456A1" w:rsidRPr="004A5756" w:rsidRDefault="007456A1" w:rsidP="0043606C"/>
    <w:p w:rsidR="006029BF" w:rsidRPr="00752349" w:rsidRDefault="0043606C" w:rsidP="007456A1">
      <w:pPr>
        <w:spacing w:line="578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701031">
        <w:rPr>
          <w:rFonts w:ascii="仿宋_GB2312" w:eastAsia="仿宋_GB2312" w:hint="eastAsia"/>
          <w:sz w:val="32"/>
          <w:szCs w:val="32"/>
        </w:rPr>
        <w:t xml:space="preserve">   </w:t>
      </w:r>
      <w:bookmarkStart w:id="0" w:name="OLE_LINK1"/>
      <w:r w:rsidR="006029BF" w:rsidRPr="00752349">
        <w:rPr>
          <w:rFonts w:ascii="黑体" w:eastAsia="黑体" w:hAnsi="黑体" w:hint="eastAsia"/>
          <w:sz w:val="32"/>
          <w:szCs w:val="32"/>
        </w:rPr>
        <w:t>一、总体情况</w:t>
      </w:r>
    </w:p>
    <w:p w:rsidR="003734BA" w:rsidRDefault="004A5756" w:rsidP="003620AF">
      <w:pPr>
        <w:spacing w:line="600" w:lineRule="exact"/>
        <w:ind w:firstLineChars="200" w:firstLine="640"/>
        <w:rPr>
          <w:rFonts w:ascii="Times New Roman" w:eastAsia="仿宋_GB2312" w:hAnsi="Times New Roman"/>
          <w:b/>
          <w:bCs/>
          <w:sz w:val="32"/>
          <w:szCs w:val="32"/>
        </w:rPr>
      </w:pPr>
      <w:r w:rsidRPr="0043606C">
        <w:rPr>
          <w:rFonts w:ascii="Times New Roman" w:eastAsia="仿宋_GB2312" w:hAnsi="Times New Roman"/>
          <w:sz w:val="32"/>
          <w:szCs w:val="32"/>
        </w:rPr>
        <w:t>20</w:t>
      </w:r>
      <w:r w:rsidR="00765D6F">
        <w:rPr>
          <w:rFonts w:ascii="Times New Roman" w:eastAsia="仿宋_GB2312" w:hAnsi="Times New Roman" w:hint="eastAsia"/>
          <w:sz w:val="32"/>
          <w:szCs w:val="32"/>
        </w:rPr>
        <w:t>20</w:t>
      </w:r>
      <w:r w:rsidRPr="0043606C">
        <w:rPr>
          <w:rFonts w:ascii="Times New Roman" w:eastAsia="仿宋_GB2312" w:hAnsi="Times New Roman"/>
          <w:sz w:val="32"/>
          <w:szCs w:val="32"/>
        </w:rPr>
        <w:t>年，在省委、省政府的坚强领导下，按照省政府办公厅的统一部署，湖南</w:t>
      </w:r>
      <w:r w:rsidR="00E1152E">
        <w:rPr>
          <w:rFonts w:ascii="Times New Roman" w:eastAsia="仿宋_GB2312" w:hAnsi="Times New Roman" w:hint="eastAsia"/>
          <w:sz w:val="32"/>
          <w:szCs w:val="32"/>
        </w:rPr>
        <w:t>中医药管理局</w:t>
      </w:r>
      <w:r w:rsidRPr="0043606C">
        <w:rPr>
          <w:rFonts w:ascii="Times New Roman" w:eastAsia="仿宋_GB2312" w:hAnsi="Times New Roman"/>
          <w:sz w:val="32"/>
          <w:szCs w:val="32"/>
        </w:rPr>
        <w:t>认真贯彻《中华人民共和国政府信息公开条例》、《湖南省行政程序规定》等系列法律法规，以公开透明、方便群众、提高效率为目标，紧密结合</w:t>
      </w:r>
      <w:r w:rsidR="00E1152E">
        <w:rPr>
          <w:rFonts w:ascii="Times New Roman" w:eastAsia="仿宋_GB2312" w:hAnsi="Times New Roman" w:hint="eastAsia"/>
          <w:sz w:val="32"/>
          <w:szCs w:val="32"/>
        </w:rPr>
        <w:t>中医药</w:t>
      </w:r>
      <w:r w:rsidRPr="0043606C">
        <w:rPr>
          <w:rFonts w:ascii="Times New Roman" w:eastAsia="仿宋_GB2312" w:hAnsi="Times New Roman"/>
          <w:sz w:val="32"/>
          <w:szCs w:val="32"/>
        </w:rPr>
        <w:t>工作实际，加强组织领导，丰富信息公开内容，加快网络平台建设，全方位推进政府信息公开、政务服务，取得了良好成效。</w:t>
      </w:r>
    </w:p>
    <w:p w:rsidR="006029BF" w:rsidRDefault="003734BA" w:rsidP="003620AF">
      <w:pPr>
        <w:spacing w:line="60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3734BA">
        <w:rPr>
          <w:rFonts w:ascii="仿宋_GB2312" w:eastAsia="仿宋_GB2312" w:hAnsi="黑体" w:hint="eastAsia"/>
          <w:b/>
          <w:sz w:val="32"/>
          <w:szCs w:val="32"/>
        </w:rPr>
        <w:t>（一）</w:t>
      </w:r>
      <w:r w:rsidR="006029BF" w:rsidRPr="003734BA">
        <w:rPr>
          <w:rFonts w:ascii="仿宋_GB2312" w:eastAsia="仿宋_GB2312" w:hAnsi="黑体" w:hint="eastAsia"/>
          <w:b/>
          <w:sz w:val="32"/>
          <w:szCs w:val="32"/>
        </w:rPr>
        <w:t>主动公开</w:t>
      </w:r>
      <w:r w:rsidR="005E1DC8" w:rsidRPr="003734BA">
        <w:rPr>
          <w:rFonts w:ascii="仿宋_GB2312" w:eastAsia="仿宋_GB2312" w:hAnsi="黑体" w:hint="eastAsia"/>
          <w:b/>
          <w:sz w:val="32"/>
          <w:szCs w:val="32"/>
        </w:rPr>
        <w:tab/>
      </w:r>
    </w:p>
    <w:p w:rsidR="00661078" w:rsidRDefault="00661078" w:rsidP="00661078">
      <w:pPr>
        <w:tabs>
          <w:tab w:val="left" w:pos="3435"/>
        </w:tabs>
        <w:spacing w:line="578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按照统一部署，我</w:t>
      </w:r>
      <w:r w:rsidR="003A4821">
        <w:rPr>
          <w:rFonts w:ascii="Times New Roman" w:eastAsia="仿宋_GB2312" w:hAnsi="Times New Roman" w:hint="eastAsia"/>
          <w:sz w:val="32"/>
          <w:szCs w:val="32"/>
        </w:rPr>
        <w:t>局</w:t>
      </w:r>
      <w:r>
        <w:rPr>
          <w:rFonts w:ascii="Times New Roman" w:eastAsia="仿宋_GB2312" w:hAnsi="Times New Roman"/>
          <w:sz w:val="32"/>
          <w:szCs w:val="32"/>
        </w:rPr>
        <w:t>在</w:t>
      </w:r>
      <w:r w:rsidR="003A4821">
        <w:rPr>
          <w:rFonts w:ascii="Times New Roman" w:eastAsia="仿宋_GB2312" w:hAnsi="Times New Roman" w:hint="eastAsia"/>
          <w:sz w:val="32"/>
          <w:szCs w:val="32"/>
        </w:rPr>
        <w:t>局</w:t>
      </w:r>
      <w:r>
        <w:rPr>
          <w:rFonts w:ascii="Times New Roman" w:eastAsia="仿宋_GB2312" w:hAnsi="Times New Roman"/>
          <w:sz w:val="32"/>
          <w:szCs w:val="32"/>
        </w:rPr>
        <w:t>机关门户官网上公布了权力清单、责任清单、政府信息公开目录、政府信息公开指南。</w:t>
      </w:r>
      <w:r>
        <w:rPr>
          <w:rFonts w:ascii="Times New Roman" w:eastAsia="仿宋_GB2312" w:hAnsi="Times New Roman"/>
          <w:color w:val="000000"/>
          <w:sz w:val="32"/>
          <w:szCs w:val="32"/>
        </w:rPr>
        <w:t>《湖南省</w:t>
      </w:r>
      <w:r w:rsidR="003A4821">
        <w:rPr>
          <w:rFonts w:ascii="Times New Roman" w:eastAsia="仿宋_GB2312" w:hAnsi="Times New Roman" w:hint="eastAsia"/>
          <w:color w:val="000000"/>
          <w:sz w:val="32"/>
          <w:szCs w:val="32"/>
        </w:rPr>
        <w:t>中医药管理局</w:t>
      </w:r>
      <w:r>
        <w:rPr>
          <w:rFonts w:ascii="Times New Roman" w:eastAsia="仿宋_GB2312" w:hAnsi="Times New Roman"/>
          <w:color w:val="000000"/>
          <w:sz w:val="32"/>
          <w:szCs w:val="32"/>
        </w:rPr>
        <w:t>政务公开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公开指南</w:t>
      </w:r>
      <w:r>
        <w:rPr>
          <w:rFonts w:ascii="Times New Roman" w:eastAsia="仿宋_GB2312" w:hAnsi="Times New Roman"/>
          <w:color w:val="000000"/>
          <w:sz w:val="32"/>
          <w:szCs w:val="32"/>
        </w:rPr>
        <w:t>》</w:t>
      </w:r>
      <w:r>
        <w:rPr>
          <w:rFonts w:ascii="Times New Roman" w:eastAsia="仿宋_GB2312" w:hAnsi="Times New Roman"/>
          <w:sz w:val="32"/>
          <w:szCs w:val="32"/>
        </w:rPr>
        <w:t>明确了我</w:t>
      </w:r>
      <w:r w:rsidR="003A4821">
        <w:rPr>
          <w:rFonts w:ascii="Times New Roman" w:eastAsia="仿宋_GB2312" w:hAnsi="Times New Roman" w:hint="eastAsia"/>
          <w:sz w:val="32"/>
          <w:szCs w:val="32"/>
        </w:rPr>
        <w:t>局</w:t>
      </w:r>
      <w:r>
        <w:rPr>
          <w:rFonts w:ascii="Times New Roman" w:eastAsia="仿宋_GB2312" w:hAnsi="Times New Roman"/>
          <w:sz w:val="32"/>
          <w:szCs w:val="32"/>
        </w:rPr>
        <w:t>政务公开的范围、主动公开和依申请公开的方式与</w:t>
      </w:r>
      <w:r w:rsidRPr="0011530E">
        <w:rPr>
          <w:rFonts w:ascii="Times New Roman" w:eastAsia="仿宋_GB2312" w:hAnsi="Times New Roman"/>
          <w:sz w:val="32"/>
          <w:szCs w:val="32"/>
        </w:rPr>
        <w:t>程序，并提出如何加强政务工作的监督与考核的方法与措施，对全省</w:t>
      </w:r>
      <w:r w:rsidR="003A4821" w:rsidRPr="0011530E">
        <w:rPr>
          <w:rFonts w:ascii="Times New Roman" w:eastAsia="仿宋_GB2312" w:hAnsi="Times New Roman" w:hint="eastAsia"/>
          <w:sz w:val="32"/>
          <w:szCs w:val="32"/>
        </w:rPr>
        <w:t>中医药</w:t>
      </w:r>
      <w:r w:rsidRPr="0011530E">
        <w:rPr>
          <w:rFonts w:ascii="Times New Roman" w:eastAsia="仿宋_GB2312" w:hAnsi="Times New Roman"/>
          <w:sz w:val="32"/>
          <w:szCs w:val="32"/>
        </w:rPr>
        <w:t>系统政务公开工作具有较强的指导和示范作用。</w:t>
      </w:r>
      <w:r w:rsidRPr="0011530E">
        <w:rPr>
          <w:rFonts w:ascii="Times New Roman" w:eastAsia="仿宋_GB2312" w:hAnsi="Times New Roman" w:hint="eastAsia"/>
          <w:sz w:val="32"/>
          <w:szCs w:val="32"/>
        </w:rPr>
        <w:t>其中</w:t>
      </w:r>
      <w:r w:rsidRPr="0011530E">
        <w:rPr>
          <w:rFonts w:ascii="Times New Roman" w:eastAsia="仿宋_GB2312" w:hAnsi="Times New Roman"/>
          <w:sz w:val="32"/>
          <w:szCs w:val="32"/>
        </w:rPr>
        <w:t>全省</w:t>
      </w:r>
      <w:r w:rsidR="003A4821" w:rsidRPr="0011530E">
        <w:rPr>
          <w:rFonts w:ascii="Times New Roman" w:eastAsia="仿宋_GB2312" w:hAnsi="Times New Roman" w:hint="eastAsia"/>
          <w:sz w:val="32"/>
          <w:szCs w:val="32"/>
        </w:rPr>
        <w:t>中医药</w:t>
      </w:r>
      <w:r w:rsidRPr="0011530E">
        <w:rPr>
          <w:rFonts w:ascii="Times New Roman" w:eastAsia="仿宋_GB2312" w:hAnsi="Times New Roman"/>
          <w:sz w:val="32"/>
          <w:szCs w:val="32"/>
        </w:rPr>
        <w:t>系统信息公开范围主要是：机构职能；政策法规；规划计划；</w:t>
      </w:r>
      <w:r w:rsidR="003A4821" w:rsidRPr="0011530E">
        <w:rPr>
          <w:rFonts w:ascii="Times New Roman" w:eastAsia="仿宋_GB2312" w:hAnsi="Times New Roman" w:hint="eastAsia"/>
          <w:sz w:val="32"/>
          <w:szCs w:val="32"/>
        </w:rPr>
        <w:t>财务信息；人事信息</w:t>
      </w:r>
      <w:r w:rsidRPr="0011530E">
        <w:rPr>
          <w:rFonts w:ascii="Times New Roman" w:eastAsia="仿宋_GB2312" w:hAnsi="Times New Roman"/>
          <w:sz w:val="32"/>
          <w:szCs w:val="32"/>
        </w:rPr>
        <w:t>；公告、通告；工作动态等。同时，发文流程规定了</w:t>
      </w:r>
      <w:r w:rsidRPr="0011530E">
        <w:rPr>
          <w:rFonts w:ascii="Times New Roman" w:eastAsia="仿宋_GB2312" w:hAnsi="Times New Roman" w:hint="eastAsia"/>
          <w:sz w:val="32"/>
          <w:szCs w:val="32"/>
        </w:rPr>
        <w:t>文件上网审批</w:t>
      </w:r>
      <w:r>
        <w:rPr>
          <w:rFonts w:ascii="Times New Roman" w:eastAsia="仿宋_GB2312" w:hAnsi="Times New Roman" w:hint="eastAsia"/>
          <w:sz w:val="32"/>
          <w:szCs w:val="32"/>
        </w:rPr>
        <w:t>的程序，处室在公文签批同时就可进行“规范性文件公开”、“是否在政务网公开”等审核程序，从机制上确保了非涉密政策文件第一时间公开，进一步提高了公开效率。</w:t>
      </w:r>
    </w:p>
    <w:p w:rsidR="006029BF" w:rsidRPr="003734BA" w:rsidRDefault="006029BF" w:rsidP="003620AF">
      <w:pPr>
        <w:spacing w:line="60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3734BA">
        <w:rPr>
          <w:rFonts w:ascii="仿宋_GB2312" w:eastAsia="仿宋_GB2312" w:hAnsi="黑体"/>
          <w:b/>
          <w:sz w:val="32"/>
          <w:szCs w:val="32"/>
        </w:rPr>
        <w:t>（二）依申请公开</w:t>
      </w:r>
    </w:p>
    <w:p w:rsidR="006029BF" w:rsidRPr="000F1BB8" w:rsidRDefault="006029BF" w:rsidP="003620AF">
      <w:pPr>
        <w:spacing w:line="600" w:lineRule="exact"/>
        <w:ind w:firstLine="645"/>
        <w:rPr>
          <w:rFonts w:ascii="Times New Roman" w:eastAsia="仿宋_GB2312" w:hAnsi="Times New Roman"/>
          <w:b/>
          <w:color w:val="000000" w:themeColor="text1"/>
          <w:sz w:val="32"/>
          <w:szCs w:val="32"/>
        </w:rPr>
      </w:pPr>
      <w:r w:rsidRPr="0043606C">
        <w:rPr>
          <w:rFonts w:ascii="Times New Roman" w:eastAsia="仿宋_GB2312" w:hAnsi="Times New Roman"/>
          <w:sz w:val="32"/>
          <w:szCs w:val="32"/>
        </w:rPr>
        <w:lastRenderedPageBreak/>
        <w:t>通过清晰的公开流程图，公布受理部门联系方式，完善依申请公开服务各项流程。为方便公众查询和申请公开信息，我</w:t>
      </w:r>
      <w:r w:rsidR="006345BD">
        <w:rPr>
          <w:rFonts w:ascii="Times New Roman" w:eastAsia="仿宋_GB2312" w:hAnsi="Times New Roman" w:hint="eastAsia"/>
          <w:sz w:val="32"/>
          <w:szCs w:val="32"/>
        </w:rPr>
        <w:t>局</w:t>
      </w:r>
      <w:r w:rsidRPr="0043606C">
        <w:rPr>
          <w:rFonts w:ascii="Times New Roman" w:eastAsia="仿宋_GB2312" w:hAnsi="Times New Roman"/>
          <w:sz w:val="32"/>
          <w:szCs w:val="32"/>
        </w:rPr>
        <w:t>在网站首页专门设立了政务公开专栏，并将依申请公开专栏置于网站首页显目位置。严格按照依</w:t>
      </w:r>
      <w:bookmarkStart w:id="1" w:name="_GoBack"/>
      <w:bookmarkEnd w:id="1"/>
      <w:r w:rsidRPr="0043606C">
        <w:rPr>
          <w:rFonts w:ascii="Times New Roman" w:eastAsia="仿宋_GB2312" w:hAnsi="Times New Roman"/>
          <w:sz w:val="32"/>
          <w:szCs w:val="32"/>
        </w:rPr>
        <w:t>申请公开的管理规定和信息公开保密审查制度，进一步明确了依申请公开信息工作的受理机构、工</w:t>
      </w:r>
      <w:r w:rsidRPr="00D12BE7">
        <w:rPr>
          <w:rFonts w:ascii="Times New Roman" w:eastAsia="仿宋_GB2312" w:hAnsi="Times New Roman"/>
          <w:sz w:val="32"/>
          <w:szCs w:val="32"/>
        </w:rPr>
        <w:t>作规程，并对受理、审</w:t>
      </w:r>
      <w:r w:rsidRPr="000F1BB8">
        <w:rPr>
          <w:rFonts w:ascii="Times New Roman" w:eastAsia="仿宋_GB2312" w:hAnsi="Times New Roman"/>
          <w:color w:val="000000" w:themeColor="text1"/>
          <w:sz w:val="32"/>
          <w:szCs w:val="32"/>
        </w:rPr>
        <w:t>查、处理和答复作出具体规定，有效保障了申请人的合法权益。</w:t>
      </w:r>
      <w:r w:rsidRPr="000F1BB8">
        <w:rPr>
          <w:rFonts w:ascii="Times New Roman" w:eastAsia="仿宋_GB2312" w:hAnsi="Times New Roman"/>
          <w:color w:val="000000" w:themeColor="text1"/>
          <w:sz w:val="32"/>
          <w:szCs w:val="32"/>
        </w:rPr>
        <w:t>20</w:t>
      </w:r>
      <w:r w:rsidR="0011530E" w:rsidRPr="000F1BB8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20</w:t>
      </w:r>
      <w:r w:rsidRPr="000F1BB8">
        <w:rPr>
          <w:rFonts w:ascii="Times New Roman" w:eastAsia="仿宋_GB2312" w:hAnsi="Times New Roman"/>
          <w:color w:val="000000" w:themeColor="text1"/>
          <w:sz w:val="32"/>
          <w:szCs w:val="32"/>
        </w:rPr>
        <w:t>年共受理依申请公开</w:t>
      </w:r>
      <w:r w:rsidR="00F62EEC" w:rsidRPr="000F1BB8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25</w:t>
      </w:r>
      <w:r w:rsidRPr="000F1BB8">
        <w:rPr>
          <w:rFonts w:ascii="Times New Roman" w:eastAsia="仿宋_GB2312" w:hAnsi="Times New Roman"/>
          <w:color w:val="000000" w:themeColor="text1"/>
          <w:sz w:val="32"/>
          <w:szCs w:val="32"/>
        </w:rPr>
        <w:t>件，回复</w:t>
      </w:r>
      <w:r w:rsidR="00F62EEC" w:rsidRPr="000F1BB8">
        <w:rPr>
          <w:rFonts w:ascii="Times New Roman" w:eastAsia="仿宋_GB2312" w:hAnsi="Times New Roman" w:hint="eastAsia"/>
          <w:color w:val="000000" w:themeColor="text1"/>
          <w:sz w:val="32"/>
          <w:szCs w:val="32"/>
        </w:rPr>
        <w:t>25</w:t>
      </w:r>
      <w:r w:rsidRPr="000F1BB8">
        <w:rPr>
          <w:rFonts w:ascii="Times New Roman" w:eastAsia="仿宋_GB2312" w:hAnsi="Times New Roman"/>
          <w:color w:val="000000" w:themeColor="text1"/>
          <w:sz w:val="32"/>
          <w:szCs w:val="32"/>
        </w:rPr>
        <w:t>件</w:t>
      </w:r>
      <w:r w:rsidRPr="000F1BB8"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>。</w:t>
      </w:r>
      <w:r w:rsidRPr="000F1BB8">
        <w:rPr>
          <w:rFonts w:ascii="Times New Roman" w:eastAsia="仿宋_GB2312" w:hAnsi="Times New Roman"/>
          <w:b/>
          <w:color w:val="000000" w:themeColor="text1"/>
          <w:sz w:val="32"/>
          <w:szCs w:val="32"/>
        </w:rPr>
        <w:t xml:space="preserve">  </w:t>
      </w:r>
    </w:p>
    <w:p w:rsidR="006029BF" w:rsidRPr="003734BA" w:rsidRDefault="006029BF" w:rsidP="003620AF">
      <w:pPr>
        <w:spacing w:line="60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3734BA">
        <w:rPr>
          <w:rFonts w:ascii="仿宋_GB2312" w:eastAsia="仿宋_GB2312" w:hAnsi="黑体" w:hint="eastAsia"/>
          <w:b/>
          <w:sz w:val="32"/>
          <w:szCs w:val="32"/>
        </w:rPr>
        <w:t>（三）政府信息管理</w:t>
      </w:r>
    </w:p>
    <w:p w:rsidR="006029BF" w:rsidRPr="0072108B" w:rsidRDefault="006029BF" w:rsidP="003620AF">
      <w:pPr>
        <w:spacing w:line="600" w:lineRule="exact"/>
        <w:ind w:firstLine="645"/>
        <w:rPr>
          <w:rFonts w:ascii="Times New Roman" w:eastAsia="仿宋_GB2312" w:hAnsi="Times New Roman"/>
          <w:sz w:val="32"/>
          <w:szCs w:val="32"/>
        </w:rPr>
      </w:pPr>
      <w:r w:rsidRPr="008C5E70">
        <w:rPr>
          <w:rFonts w:ascii="Times New Roman" w:eastAsia="仿宋_GB2312" w:hAnsi="Times New Roman" w:hint="eastAsia"/>
          <w:sz w:val="32"/>
          <w:szCs w:val="32"/>
        </w:rPr>
        <w:t>我</w:t>
      </w:r>
      <w:r w:rsidR="00F67929">
        <w:rPr>
          <w:rFonts w:ascii="Times New Roman" w:eastAsia="仿宋_GB2312" w:hAnsi="Times New Roman" w:hint="eastAsia"/>
          <w:sz w:val="32"/>
          <w:szCs w:val="32"/>
        </w:rPr>
        <w:t>局</w:t>
      </w:r>
      <w:r w:rsidRPr="008C5E70">
        <w:rPr>
          <w:rFonts w:ascii="Times New Roman" w:eastAsia="仿宋_GB2312" w:hAnsi="Times New Roman" w:hint="eastAsia"/>
          <w:sz w:val="32"/>
          <w:szCs w:val="32"/>
        </w:rPr>
        <w:t>高度重视政府信息公开工作。一是加强组织领导</w:t>
      </w:r>
      <w:r w:rsidR="0072108B">
        <w:rPr>
          <w:rFonts w:ascii="Times New Roman" w:eastAsia="仿宋_GB2312" w:hAnsi="Times New Roman" w:hint="eastAsia"/>
          <w:sz w:val="32"/>
          <w:szCs w:val="32"/>
        </w:rPr>
        <w:t>，</w:t>
      </w:r>
      <w:r w:rsidRPr="008C5E70">
        <w:rPr>
          <w:rFonts w:ascii="Times New Roman" w:eastAsia="仿宋_GB2312" w:hAnsi="Times New Roman" w:hint="eastAsia"/>
          <w:sz w:val="32"/>
          <w:szCs w:val="32"/>
        </w:rPr>
        <w:t>成立</w:t>
      </w:r>
      <w:r w:rsidR="0072108B">
        <w:rPr>
          <w:rFonts w:ascii="Times New Roman" w:eastAsia="仿宋_GB2312" w:hAnsi="Times New Roman" w:hint="eastAsia"/>
          <w:sz w:val="32"/>
          <w:szCs w:val="32"/>
        </w:rPr>
        <w:t>了</w:t>
      </w:r>
      <w:r w:rsidRPr="008C5E70">
        <w:rPr>
          <w:rFonts w:ascii="Times New Roman" w:eastAsia="仿宋_GB2312" w:hAnsi="Times New Roman" w:hint="eastAsia"/>
          <w:sz w:val="32"/>
          <w:szCs w:val="32"/>
        </w:rPr>
        <w:t>由</w:t>
      </w:r>
      <w:r w:rsidR="00F67929">
        <w:rPr>
          <w:rFonts w:ascii="Times New Roman" w:eastAsia="仿宋_GB2312" w:hAnsi="Times New Roman" w:hint="eastAsia"/>
          <w:sz w:val="32"/>
          <w:szCs w:val="32"/>
        </w:rPr>
        <w:t>局长</w:t>
      </w:r>
      <w:r w:rsidR="0072108B">
        <w:rPr>
          <w:rFonts w:ascii="Times New Roman" w:eastAsia="仿宋_GB2312" w:hAnsi="Times New Roman" w:hint="eastAsia"/>
          <w:sz w:val="32"/>
          <w:szCs w:val="32"/>
        </w:rPr>
        <w:t>任组长</w:t>
      </w:r>
      <w:r w:rsidRPr="008C5E70">
        <w:rPr>
          <w:rFonts w:ascii="Times New Roman" w:eastAsia="仿宋_GB2312" w:hAnsi="Times New Roman" w:hint="eastAsia"/>
          <w:sz w:val="32"/>
          <w:szCs w:val="32"/>
        </w:rPr>
        <w:t>、分管副</w:t>
      </w:r>
      <w:r w:rsidR="00F67929">
        <w:rPr>
          <w:rFonts w:ascii="Times New Roman" w:eastAsia="仿宋_GB2312" w:hAnsi="Times New Roman" w:hint="eastAsia"/>
          <w:sz w:val="32"/>
          <w:szCs w:val="32"/>
        </w:rPr>
        <w:t>局长</w:t>
      </w:r>
      <w:r w:rsidRPr="008C5E70">
        <w:rPr>
          <w:rFonts w:ascii="Times New Roman" w:eastAsia="仿宋_GB2312" w:hAnsi="Times New Roman" w:hint="eastAsia"/>
          <w:sz w:val="32"/>
          <w:szCs w:val="32"/>
        </w:rPr>
        <w:t>任副组长的政务</w:t>
      </w:r>
      <w:r w:rsidR="0072108B">
        <w:rPr>
          <w:rFonts w:ascii="Times New Roman" w:eastAsia="仿宋_GB2312" w:hAnsi="Times New Roman" w:hint="eastAsia"/>
          <w:sz w:val="32"/>
          <w:szCs w:val="32"/>
        </w:rPr>
        <w:t>信息</w:t>
      </w:r>
      <w:r w:rsidRPr="008C5E70">
        <w:rPr>
          <w:rFonts w:ascii="Times New Roman" w:eastAsia="仿宋_GB2312" w:hAnsi="Times New Roman" w:hint="eastAsia"/>
          <w:sz w:val="32"/>
          <w:szCs w:val="32"/>
        </w:rPr>
        <w:t>公开工作领导小组，统筹推动政务公开、“互联网</w:t>
      </w:r>
      <w:r w:rsidRPr="008C5E70">
        <w:rPr>
          <w:rFonts w:ascii="Times New Roman" w:eastAsia="仿宋_GB2312" w:hAnsi="Times New Roman" w:hint="eastAsia"/>
          <w:sz w:val="32"/>
          <w:szCs w:val="32"/>
        </w:rPr>
        <w:t>+</w:t>
      </w:r>
      <w:r w:rsidRPr="008C5E70">
        <w:rPr>
          <w:rFonts w:ascii="Times New Roman" w:eastAsia="仿宋_GB2312" w:hAnsi="Times New Roman" w:hint="eastAsia"/>
          <w:sz w:val="32"/>
          <w:szCs w:val="32"/>
        </w:rPr>
        <w:t>政务服务”、政务网站建设等工作，并将政务</w:t>
      </w:r>
      <w:r w:rsidR="0072108B">
        <w:rPr>
          <w:rFonts w:ascii="Times New Roman" w:eastAsia="仿宋_GB2312" w:hAnsi="Times New Roman" w:hint="eastAsia"/>
          <w:sz w:val="32"/>
          <w:szCs w:val="32"/>
        </w:rPr>
        <w:t>服务、政府信息公开工作始终摆在突出位置，列入年度工作要点，纳入</w:t>
      </w:r>
      <w:r w:rsidR="00F67929">
        <w:rPr>
          <w:rFonts w:ascii="Times New Roman" w:eastAsia="仿宋_GB2312" w:hAnsi="Times New Roman" w:hint="eastAsia"/>
          <w:sz w:val="32"/>
          <w:szCs w:val="32"/>
        </w:rPr>
        <w:t>局长</w:t>
      </w:r>
      <w:r w:rsidRPr="008C5E70">
        <w:rPr>
          <w:rFonts w:ascii="Times New Roman" w:eastAsia="仿宋_GB2312" w:hAnsi="Times New Roman" w:hint="eastAsia"/>
          <w:sz w:val="32"/>
          <w:szCs w:val="32"/>
        </w:rPr>
        <w:t>办公会的重要议事日程。</w:t>
      </w:r>
      <w:r w:rsidR="00F67929">
        <w:rPr>
          <w:rFonts w:ascii="Times New Roman" w:eastAsia="仿宋_GB2312" w:hAnsi="Times New Roman" w:hint="eastAsia"/>
          <w:sz w:val="32"/>
          <w:szCs w:val="32"/>
        </w:rPr>
        <w:t>二</w:t>
      </w:r>
      <w:r w:rsidRPr="008C5E70">
        <w:rPr>
          <w:rFonts w:ascii="Times New Roman" w:eastAsia="仿宋_GB2312" w:hAnsi="Times New Roman" w:hint="eastAsia"/>
          <w:sz w:val="32"/>
          <w:szCs w:val="32"/>
        </w:rPr>
        <w:t>是完善工作机制。按照“统一管理、统一标准、统一规范</w:t>
      </w:r>
      <w:r w:rsidR="0072108B">
        <w:rPr>
          <w:rFonts w:ascii="Times New Roman" w:eastAsia="仿宋_GB2312" w:hAnsi="Times New Roman" w:hint="eastAsia"/>
          <w:sz w:val="32"/>
          <w:szCs w:val="32"/>
        </w:rPr>
        <w:t>、谁制作谁负责</w:t>
      </w:r>
      <w:r w:rsidRPr="008C5E70">
        <w:rPr>
          <w:rFonts w:ascii="Times New Roman" w:eastAsia="仿宋_GB2312" w:hAnsi="Times New Roman" w:hint="eastAsia"/>
          <w:sz w:val="32"/>
          <w:szCs w:val="32"/>
        </w:rPr>
        <w:t>”的原则，以标准为依据、以资源共享为目的，整合内部信息资源，建设内容信息公开体系，保障信息的权威性、准确性以及及时性，完善安全防护体系，实现资源互通共享</w:t>
      </w:r>
      <w:r w:rsidR="0072108B">
        <w:rPr>
          <w:rFonts w:ascii="Times New Roman" w:eastAsia="仿宋_GB2312" w:hAnsi="Times New Roman" w:hint="eastAsia"/>
          <w:sz w:val="32"/>
          <w:szCs w:val="32"/>
        </w:rPr>
        <w:t>，提高信息的应用、服务水平。保障公民、法人和其他组织依法获取</w:t>
      </w:r>
      <w:r w:rsidR="00D12BE7">
        <w:rPr>
          <w:rFonts w:ascii="Times New Roman" w:eastAsia="仿宋_GB2312" w:hAnsi="Times New Roman" w:hint="eastAsia"/>
          <w:sz w:val="32"/>
          <w:szCs w:val="32"/>
        </w:rPr>
        <w:t>中医药</w:t>
      </w:r>
      <w:r w:rsidRPr="008C5E70">
        <w:rPr>
          <w:rFonts w:ascii="Times New Roman" w:eastAsia="仿宋_GB2312" w:hAnsi="Times New Roman" w:hint="eastAsia"/>
          <w:sz w:val="32"/>
          <w:szCs w:val="32"/>
        </w:rPr>
        <w:t>信息，提高</w:t>
      </w:r>
      <w:r w:rsidR="0072108B">
        <w:rPr>
          <w:rFonts w:ascii="Times New Roman" w:eastAsia="仿宋_GB2312" w:hAnsi="Times New Roman" w:hint="eastAsia"/>
          <w:sz w:val="32"/>
          <w:szCs w:val="32"/>
        </w:rPr>
        <w:t>了</w:t>
      </w:r>
      <w:r w:rsidRPr="008C5E70">
        <w:rPr>
          <w:rFonts w:ascii="Times New Roman" w:eastAsia="仿宋_GB2312" w:hAnsi="Times New Roman" w:hint="eastAsia"/>
          <w:sz w:val="32"/>
          <w:szCs w:val="32"/>
        </w:rPr>
        <w:t>工作透明度，促进依法行政，充分发挥政府信息对人民群众的服务作用</w:t>
      </w:r>
    </w:p>
    <w:p w:rsidR="006029BF" w:rsidRPr="003734BA" w:rsidRDefault="006029BF" w:rsidP="003620AF">
      <w:pPr>
        <w:spacing w:line="60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3734BA">
        <w:rPr>
          <w:rFonts w:ascii="仿宋_GB2312" w:eastAsia="仿宋_GB2312" w:hAnsi="黑体" w:hint="eastAsia"/>
          <w:b/>
          <w:sz w:val="32"/>
          <w:szCs w:val="32"/>
        </w:rPr>
        <w:t>（四）平台建设</w:t>
      </w:r>
    </w:p>
    <w:p w:rsidR="00077EB3" w:rsidRDefault="00077EB3" w:rsidP="003620AF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91EBA">
        <w:rPr>
          <w:rFonts w:ascii="Times New Roman" w:eastAsia="仿宋_GB2312" w:hAnsi="Times New Roman" w:hint="eastAsia"/>
          <w:sz w:val="32"/>
          <w:szCs w:val="32"/>
        </w:rPr>
        <w:t>全面统筹，确保管理到位。我</w:t>
      </w:r>
      <w:r w:rsidR="00F67929">
        <w:rPr>
          <w:rFonts w:ascii="Times New Roman" w:eastAsia="仿宋_GB2312" w:hAnsi="Times New Roman" w:hint="eastAsia"/>
          <w:sz w:val="32"/>
          <w:szCs w:val="32"/>
        </w:rPr>
        <w:t>局</w:t>
      </w:r>
      <w:r w:rsidRPr="00391EBA">
        <w:rPr>
          <w:rFonts w:ascii="Times New Roman" w:eastAsia="仿宋_GB2312" w:hAnsi="Times New Roman" w:hint="eastAsia"/>
          <w:sz w:val="32"/>
          <w:szCs w:val="32"/>
        </w:rPr>
        <w:t>主要领导高度重视网站建设，</w:t>
      </w:r>
      <w:r w:rsidRPr="00391EBA">
        <w:rPr>
          <w:rFonts w:ascii="Times New Roman" w:eastAsia="仿宋_GB2312" w:hAnsi="Times New Roman" w:hint="eastAsia"/>
          <w:sz w:val="32"/>
          <w:szCs w:val="32"/>
        </w:rPr>
        <w:lastRenderedPageBreak/>
        <w:t>多次</w:t>
      </w:r>
      <w:r w:rsidR="00F67929">
        <w:rPr>
          <w:rFonts w:ascii="Times New Roman" w:eastAsia="仿宋_GB2312" w:hAnsi="Times New Roman" w:hint="eastAsia"/>
          <w:sz w:val="32"/>
          <w:szCs w:val="32"/>
        </w:rPr>
        <w:t>组织</w:t>
      </w:r>
      <w:r w:rsidRPr="00391EBA">
        <w:rPr>
          <w:rFonts w:ascii="Times New Roman" w:eastAsia="仿宋_GB2312" w:hAnsi="Times New Roman" w:hint="eastAsia"/>
          <w:sz w:val="32"/>
          <w:szCs w:val="32"/>
        </w:rPr>
        <w:t>研究部署网站建设工作，对事关</w:t>
      </w:r>
      <w:r w:rsidR="00F67929">
        <w:rPr>
          <w:rFonts w:ascii="Times New Roman" w:eastAsia="仿宋_GB2312" w:hAnsi="Times New Roman" w:hint="eastAsia"/>
          <w:sz w:val="32"/>
          <w:szCs w:val="32"/>
        </w:rPr>
        <w:t>局</w:t>
      </w:r>
      <w:r w:rsidRPr="00391EBA">
        <w:rPr>
          <w:rFonts w:ascii="Times New Roman" w:eastAsia="仿宋_GB2312" w:hAnsi="Times New Roman" w:hint="eastAsia"/>
          <w:sz w:val="32"/>
          <w:szCs w:val="32"/>
        </w:rPr>
        <w:t>门户网站发展的相关问题及早谋划及时解决。</w:t>
      </w:r>
    </w:p>
    <w:p w:rsidR="00815E98" w:rsidRDefault="00815E98" w:rsidP="00815E98">
      <w:pPr>
        <w:pBdr>
          <w:bottom w:val="single" w:sz="4" w:space="31" w:color="FFFFFF"/>
        </w:pBdr>
        <w:tabs>
          <w:tab w:val="left" w:pos="1440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一是对标国家和省里要求标准，规范管理，确保网站安全。按照局里相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关网站管理办法，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对网站的职责分工、内容保障、新闻采编、信息发布、安全保密等方面进行了规范管理，网站各职能部门各司其职，各负其责，实行应急机制、值班制度，实现365天、24小时应急响应。</w:t>
      </w:r>
    </w:p>
    <w:p w:rsidR="00815E98" w:rsidRDefault="00815E98" w:rsidP="00815E98">
      <w:pPr>
        <w:pBdr>
          <w:bottom w:val="single" w:sz="4" w:space="31" w:color="FFFFFF"/>
        </w:pBdr>
        <w:tabs>
          <w:tab w:val="left" w:pos="1440"/>
        </w:tabs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二是做好通讯员队伍建设管理工作，搭建局机关处室、省直中医药单位、14市州卫健委网站信息员、通讯员队伍，整合资源积极挖掘各职能单位主观能动性，力争做到网站新闻类稿件稿源丰富及时且专业科学，政务信息类稿件权威准确，局网站主管部门负责统一把关，做到统一标杆，统一口径，统一审核，统一发布。   </w:t>
      </w:r>
    </w:p>
    <w:p w:rsidR="00234488" w:rsidRDefault="00234488" w:rsidP="00234488">
      <w:pPr>
        <w:pBdr>
          <w:bottom w:val="single" w:sz="4" w:space="31" w:color="FFFFFF"/>
        </w:pBdr>
        <w:tabs>
          <w:tab w:val="left" w:pos="1440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815E98">
        <w:rPr>
          <w:rFonts w:ascii="仿宋_GB2312" w:eastAsia="仿宋_GB2312" w:hint="eastAsia"/>
          <w:sz w:val="32"/>
          <w:szCs w:val="32"/>
        </w:rPr>
        <w:t>是做好网站信息发布保密审查工作，确保内容安全。做到</w:t>
      </w:r>
      <w:r w:rsidR="00815E98">
        <w:rPr>
          <w:rFonts w:ascii="仿宋_GB2312" w:eastAsia="仿宋_GB2312" w:hAnsi="仿宋_GB2312" w:cs="仿宋_GB2312" w:hint="eastAsia"/>
          <w:sz w:val="32"/>
          <w:szCs w:val="32"/>
        </w:rPr>
        <w:t>责权明晰，分工合作，有条不紊。对国家、省里、全</w:t>
      </w:r>
      <w:r>
        <w:rPr>
          <w:rFonts w:ascii="仿宋_GB2312" w:eastAsia="仿宋_GB2312" w:hAnsi="仿宋_GB2312" w:cs="仿宋_GB2312" w:hint="eastAsia"/>
          <w:sz w:val="32"/>
          <w:szCs w:val="32"/>
        </w:rPr>
        <w:t>局</w:t>
      </w:r>
      <w:r w:rsidR="00815E98">
        <w:rPr>
          <w:rFonts w:ascii="仿宋_GB2312" w:eastAsia="仿宋_GB2312" w:hAnsi="仿宋_GB2312" w:cs="仿宋_GB2312" w:hint="eastAsia"/>
          <w:sz w:val="32"/>
          <w:szCs w:val="32"/>
        </w:rPr>
        <w:t>相关政策法规、政务公开、办事指南等信息遵循“公开为常态不公开为例外”原则，及时、准确地发布。同时按省里统一部署要求，做好与国家政府门户网站、国家</w:t>
      </w:r>
      <w:r>
        <w:rPr>
          <w:rFonts w:ascii="仿宋_GB2312" w:eastAsia="仿宋_GB2312" w:hAnsi="仿宋_GB2312" w:cs="仿宋_GB2312" w:hint="eastAsia"/>
          <w:sz w:val="32"/>
          <w:szCs w:val="32"/>
        </w:rPr>
        <w:t>中医药管理局</w:t>
      </w:r>
      <w:r w:rsidR="00815E98">
        <w:rPr>
          <w:rFonts w:ascii="仿宋_GB2312" w:eastAsia="仿宋_GB2312" w:hAnsi="仿宋_GB2312" w:cs="仿宋_GB2312" w:hint="eastAsia"/>
          <w:sz w:val="32"/>
          <w:szCs w:val="32"/>
        </w:rPr>
        <w:t>网站、省政府门户网站的协同联动工作。</w:t>
      </w:r>
    </w:p>
    <w:p w:rsidR="00234488" w:rsidRDefault="006029BF" w:rsidP="00234488">
      <w:pPr>
        <w:pBdr>
          <w:bottom w:val="single" w:sz="4" w:space="31" w:color="FFFFFF"/>
        </w:pBdr>
        <w:tabs>
          <w:tab w:val="left" w:pos="1440"/>
        </w:tabs>
        <w:spacing w:line="60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 w:rsidRPr="003734BA">
        <w:rPr>
          <w:rFonts w:ascii="仿宋_GB2312" w:eastAsia="仿宋_GB2312" w:hAnsi="黑体" w:hint="eastAsia"/>
          <w:b/>
          <w:sz w:val="32"/>
          <w:szCs w:val="32"/>
        </w:rPr>
        <w:t>（五）监督保障</w:t>
      </w:r>
    </w:p>
    <w:p w:rsidR="00234488" w:rsidRDefault="0072108B" w:rsidP="00234488">
      <w:pPr>
        <w:pBdr>
          <w:bottom w:val="single" w:sz="4" w:space="31" w:color="FFFFFF"/>
        </w:pBdr>
        <w:tabs>
          <w:tab w:val="left" w:pos="1440"/>
        </w:tabs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</w:t>
      </w:r>
      <w:r w:rsidR="00D12BE7">
        <w:rPr>
          <w:rFonts w:ascii="仿宋_GB2312" w:eastAsia="仿宋_GB2312" w:hint="eastAsia"/>
          <w:sz w:val="32"/>
          <w:szCs w:val="32"/>
        </w:rPr>
        <w:t>局</w:t>
      </w:r>
      <w:r w:rsidR="006029BF" w:rsidRPr="008C5E70">
        <w:rPr>
          <w:rFonts w:ascii="仿宋_GB2312" w:eastAsia="仿宋_GB2312" w:hint="eastAsia"/>
          <w:sz w:val="32"/>
          <w:szCs w:val="32"/>
        </w:rPr>
        <w:t>制定并实施</w:t>
      </w:r>
      <w:r>
        <w:rPr>
          <w:rFonts w:ascii="仿宋_GB2312" w:eastAsia="仿宋_GB2312" w:hint="eastAsia"/>
          <w:sz w:val="32"/>
          <w:szCs w:val="32"/>
        </w:rPr>
        <w:t>《</w:t>
      </w:r>
      <w:r w:rsidR="006029BF" w:rsidRPr="008C5E70">
        <w:rPr>
          <w:rFonts w:ascii="仿宋_GB2312" w:eastAsia="仿宋_GB2312" w:hint="eastAsia"/>
          <w:sz w:val="32"/>
          <w:szCs w:val="32"/>
        </w:rPr>
        <w:t>政务网站工作评估方案》，按照“月月统计、年度</w:t>
      </w:r>
      <w:r>
        <w:rPr>
          <w:rFonts w:ascii="仿宋_GB2312" w:eastAsia="仿宋_GB2312" w:hint="eastAsia"/>
          <w:sz w:val="32"/>
          <w:szCs w:val="32"/>
        </w:rPr>
        <w:t>评估”的原则，通过日常监测、远程巡查、第三方专家评议等方式，</w:t>
      </w:r>
      <w:r w:rsidR="00D12BE7">
        <w:rPr>
          <w:rFonts w:ascii="仿宋_GB2312" w:eastAsia="仿宋_GB2312" w:hint="eastAsia"/>
          <w:sz w:val="32"/>
          <w:szCs w:val="32"/>
        </w:rPr>
        <w:t>加强监督管理</w:t>
      </w:r>
      <w:r w:rsidR="006029BF" w:rsidRPr="008C5E70">
        <w:rPr>
          <w:rFonts w:ascii="仿宋_GB2312" w:eastAsia="仿宋_GB2312" w:hint="eastAsia"/>
          <w:sz w:val="32"/>
          <w:szCs w:val="32"/>
        </w:rPr>
        <w:t>。建立健全政府信息公开责任追究制</w:t>
      </w:r>
      <w:r w:rsidR="006029BF" w:rsidRPr="008C5E70">
        <w:rPr>
          <w:rFonts w:ascii="仿宋_GB2312" w:eastAsia="仿宋_GB2312" w:hint="eastAsia"/>
          <w:sz w:val="32"/>
          <w:szCs w:val="32"/>
        </w:rPr>
        <w:lastRenderedPageBreak/>
        <w:t>度。凡重要政务信息、重要咨询内容应公开而未公开、应回复而未及时回复或处置错误的，对直接责任人给予通报批评；对情节严重的，或违反国家保密法等法律法规的，依法依规追究责任人员的责任。</w:t>
      </w:r>
    </w:p>
    <w:p w:rsidR="00B80C11" w:rsidRPr="00752349" w:rsidRDefault="00B80C11" w:rsidP="00234488">
      <w:pPr>
        <w:pBdr>
          <w:bottom w:val="single" w:sz="4" w:space="31" w:color="FFFFFF"/>
        </w:pBdr>
        <w:tabs>
          <w:tab w:val="left" w:pos="1440"/>
        </w:tabs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52349">
        <w:rPr>
          <w:rFonts w:ascii="黑体" w:eastAsia="黑体" w:hAnsi="黑体" w:hint="eastAsia"/>
          <w:sz w:val="32"/>
          <w:szCs w:val="32"/>
        </w:rPr>
        <w:t>二、主动公开政府信息情况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4"/>
        <w:gridCol w:w="851"/>
        <w:gridCol w:w="850"/>
        <w:gridCol w:w="1418"/>
        <w:gridCol w:w="708"/>
        <w:gridCol w:w="142"/>
        <w:gridCol w:w="567"/>
        <w:gridCol w:w="709"/>
        <w:gridCol w:w="992"/>
        <w:gridCol w:w="114"/>
        <w:gridCol w:w="737"/>
        <w:gridCol w:w="708"/>
        <w:gridCol w:w="709"/>
      </w:tblGrid>
      <w:tr w:rsidR="00886C61" w:rsidRPr="00886C61" w:rsidTr="005E1DC8">
        <w:trPr>
          <w:trHeight w:val="285"/>
        </w:trPr>
        <w:tc>
          <w:tcPr>
            <w:tcW w:w="92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886C61" w:rsidRPr="00886C61" w:rsidTr="005E1DC8">
        <w:trPr>
          <w:trHeight w:val="270"/>
        </w:trPr>
        <w:tc>
          <w:tcPr>
            <w:tcW w:w="242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</w:p>
        </w:tc>
        <w:tc>
          <w:tcPr>
            <w:tcW w:w="238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</w:p>
        </w:tc>
        <w:tc>
          <w:tcPr>
            <w:tcW w:w="215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886C61" w:rsidRPr="00886C61" w:rsidTr="005E1DC8">
        <w:trPr>
          <w:trHeight w:val="285"/>
        </w:trPr>
        <w:tc>
          <w:tcPr>
            <w:tcW w:w="242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C61" w:rsidRPr="00886C61" w:rsidRDefault="00886C61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5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6C61" w:rsidRPr="00886C61" w:rsidRDefault="00886C61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886C61" w:rsidRPr="00886C61" w:rsidTr="005E1DC8">
        <w:trPr>
          <w:trHeight w:val="285"/>
        </w:trPr>
        <w:tc>
          <w:tcPr>
            <w:tcW w:w="2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C61" w:rsidRPr="00886C61" w:rsidRDefault="00886C61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86C61" w:rsidRPr="00886C61" w:rsidTr="005E1DC8">
        <w:trPr>
          <w:trHeight w:val="285"/>
        </w:trPr>
        <w:tc>
          <w:tcPr>
            <w:tcW w:w="2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D71BEF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3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C61" w:rsidRPr="00886C61" w:rsidRDefault="00886C61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D71BEF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</w:tr>
      <w:tr w:rsidR="00886C61" w:rsidRPr="00886C61" w:rsidTr="005E1DC8">
        <w:trPr>
          <w:trHeight w:val="285"/>
        </w:trPr>
        <w:tc>
          <w:tcPr>
            <w:tcW w:w="92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886C61" w:rsidRPr="00886C61" w:rsidTr="005E1DC8">
        <w:trPr>
          <w:trHeight w:val="285"/>
        </w:trPr>
        <w:tc>
          <w:tcPr>
            <w:tcW w:w="2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3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886C61" w:rsidRPr="00886C61" w:rsidTr="005E1DC8">
        <w:trPr>
          <w:trHeight w:val="285"/>
        </w:trPr>
        <w:tc>
          <w:tcPr>
            <w:tcW w:w="2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C61" w:rsidRPr="00886C61" w:rsidRDefault="00FF356B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FF356B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86C61" w:rsidRPr="00886C61" w:rsidTr="005E1DC8">
        <w:trPr>
          <w:trHeight w:val="285"/>
        </w:trPr>
        <w:tc>
          <w:tcPr>
            <w:tcW w:w="2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C61" w:rsidRPr="00886C61" w:rsidRDefault="00FF356B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FF356B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86C61" w:rsidRPr="00886C61" w:rsidTr="005E1DC8">
        <w:trPr>
          <w:trHeight w:val="285"/>
        </w:trPr>
        <w:tc>
          <w:tcPr>
            <w:tcW w:w="92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886C61" w:rsidRPr="00886C61" w:rsidTr="00FF356B">
        <w:trPr>
          <w:trHeight w:val="339"/>
        </w:trPr>
        <w:tc>
          <w:tcPr>
            <w:tcW w:w="2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3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886C61" w:rsidRPr="00886C61" w:rsidTr="005E1DC8">
        <w:trPr>
          <w:trHeight w:val="285"/>
        </w:trPr>
        <w:tc>
          <w:tcPr>
            <w:tcW w:w="2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C61" w:rsidRPr="00886C61" w:rsidRDefault="00FF356B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FF356B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86C61" w:rsidRPr="00886C61" w:rsidTr="005E1DC8">
        <w:trPr>
          <w:trHeight w:val="285"/>
        </w:trPr>
        <w:tc>
          <w:tcPr>
            <w:tcW w:w="2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C61" w:rsidRPr="00886C61" w:rsidRDefault="00FF356B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38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886C61" w:rsidRPr="00886C61" w:rsidTr="005E1DC8">
        <w:trPr>
          <w:trHeight w:val="285"/>
        </w:trPr>
        <w:tc>
          <w:tcPr>
            <w:tcW w:w="92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886C61" w:rsidRPr="00886C61" w:rsidTr="005E1DC8">
        <w:trPr>
          <w:trHeight w:val="285"/>
        </w:trPr>
        <w:tc>
          <w:tcPr>
            <w:tcW w:w="2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46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886C61" w:rsidRPr="00886C61" w:rsidTr="005E1DC8">
        <w:trPr>
          <w:trHeight w:val="285"/>
        </w:trPr>
        <w:tc>
          <w:tcPr>
            <w:tcW w:w="2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46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FF35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FF356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86C61" w:rsidRPr="00886C61" w:rsidTr="005E1DC8">
        <w:trPr>
          <w:trHeight w:val="285"/>
        </w:trPr>
        <w:tc>
          <w:tcPr>
            <w:tcW w:w="92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D9F1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886C61" w:rsidRPr="00886C61" w:rsidTr="005E1DC8">
        <w:trPr>
          <w:trHeight w:val="285"/>
        </w:trPr>
        <w:tc>
          <w:tcPr>
            <w:tcW w:w="2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46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886C61" w:rsidRPr="00886C61" w:rsidTr="005E1DC8">
        <w:trPr>
          <w:trHeight w:val="300"/>
        </w:trPr>
        <w:tc>
          <w:tcPr>
            <w:tcW w:w="24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86C61" w:rsidRPr="00886C61" w:rsidRDefault="00886C61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86C6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465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C61" w:rsidRPr="00886C61" w:rsidRDefault="00FF356B" w:rsidP="00886C6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86C61" w:rsidRPr="00886C61" w:rsidRDefault="00FF356B" w:rsidP="00FB6D79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B80C11" w:rsidRPr="003103EE" w:rsidTr="00AA3932">
        <w:trPr>
          <w:trHeight w:val="300"/>
        </w:trPr>
        <w:tc>
          <w:tcPr>
            <w:tcW w:w="9229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6F2D49" w:rsidRDefault="006F2D49" w:rsidP="006F2D49">
            <w:pPr>
              <w:ind w:firstLineChars="200" w:firstLine="640"/>
              <w:rPr>
                <w:rFonts w:ascii="黑体" w:eastAsia="黑体" w:hAnsi="黑体" w:cs="宋体"/>
                <w:bCs/>
                <w:color w:val="333333"/>
                <w:kern w:val="0"/>
                <w:sz w:val="32"/>
                <w:szCs w:val="32"/>
              </w:rPr>
            </w:pPr>
          </w:p>
          <w:p w:rsidR="00B80C11" w:rsidRPr="006F2D49" w:rsidRDefault="00B80C11" w:rsidP="006F2D49">
            <w:pPr>
              <w:ind w:firstLineChars="200" w:firstLine="640"/>
              <w:rPr>
                <w:rFonts w:ascii="黑体" w:eastAsia="黑体" w:hAnsi="黑体"/>
                <w:sz w:val="32"/>
                <w:szCs w:val="32"/>
              </w:rPr>
            </w:pPr>
            <w:r w:rsidRPr="006F2D49">
              <w:rPr>
                <w:rFonts w:ascii="黑体" w:eastAsia="黑体" w:hAnsi="黑体" w:cs="宋体" w:hint="eastAsia"/>
                <w:bCs/>
                <w:color w:val="333333"/>
                <w:kern w:val="0"/>
                <w:sz w:val="32"/>
                <w:szCs w:val="32"/>
              </w:rPr>
              <w:t>三、收到和处理政府信息公开申请情况</w:t>
            </w:r>
          </w:p>
        </w:tc>
      </w:tr>
      <w:tr w:rsidR="003103EE" w:rsidRPr="003103EE" w:rsidTr="00A772E6">
        <w:trPr>
          <w:trHeight w:val="285"/>
        </w:trPr>
        <w:tc>
          <w:tcPr>
            <w:tcW w:w="384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3103EE" w:rsidRPr="003103EE" w:rsidTr="00A772E6">
        <w:trPr>
          <w:trHeight w:val="285"/>
        </w:trPr>
        <w:tc>
          <w:tcPr>
            <w:tcW w:w="3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9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A772E6" w:rsidRPr="003103EE" w:rsidTr="00A772E6">
        <w:trPr>
          <w:trHeight w:val="495"/>
        </w:trPr>
        <w:tc>
          <w:tcPr>
            <w:tcW w:w="384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A772E6" w:rsidRPr="003103EE" w:rsidTr="00A772E6">
        <w:trPr>
          <w:trHeight w:val="285"/>
        </w:trPr>
        <w:tc>
          <w:tcPr>
            <w:tcW w:w="3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9C4669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72E6" w:rsidRPr="003103EE" w:rsidTr="00A772E6">
        <w:trPr>
          <w:trHeight w:val="285"/>
        </w:trPr>
        <w:tc>
          <w:tcPr>
            <w:tcW w:w="3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72E6" w:rsidRPr="003103EE" w:rsidTr="00A772E6">
        <w:trPr>
          <w:trHeight w:val="285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三、本</w:t>
            </w:r>
            <w:r w:rsidRPr="00310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年度办理结果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9C4669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72E6" w:rsidRPr="003103EE" w:rsidTr="00A772E6">
        <w:trPr>
          <w:trHeight w:val="96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66194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03EE" w:rsidRPr="003103EE" w:rsidTr="00A772E6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03EE" w:rsidRPr="003103EE" w:rsidTr="00A772E6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03EE" w:rsidRPr="003103EE" w:rsidTr="00A772E6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03EE" w:rsidRPr="003103EE" w:rsidTr="00A772E6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66194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03EE" w:rsidRPr="003103EE" w:rsidTr="00A772E6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03EE" w:rsidRPr="003103EE" w:rsidTr="00A772E6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03EE" w:rsidRPr="003103EE" w:rsidTr="00A772E6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03EE" w:rsidRPr="003103EE" w:rsidTr="00A772E6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03EE" w:rsidRPr="003103EE" w:rsidTr="00A772E6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66194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03EE" w:rsidRPr="003103EE" w:rsidTr="00A772E6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03EE" w:rsidRPr="003103EE" w:rsidTr="00A772E6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03EE" w:rsidRPr="003103EE" w:rsidTr="00A772E6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03EE" w:rsidRPr="003103EE" w:rsidTr="00A772E6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03EE" w:rsidRPr="003103EE" w:rsidTr="00A772E6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03EE" w:rsidRPr="003103EE" w:rsidTr="00A772E6">
        <w:trPr>
          <w:trHeight w:val="49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103EE" w:rsidRPr="003103EE" w:rsidTr="00A772E6">
        <w:trPr>
          <w:trHeight w:val="73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72E6" w:rsidRPr="003103EE" w:rsidTr="00A772E6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72E6" w:rsidRPr="003103EE" w:rsidTr="00A772E6">
        <w:trPr>
          <w:trHeight w:val="285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9C4669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772E6" w:rsidRPr="003103EE" w:rsidTr="00A772E6">
        <w:trPr>
          <w:trHeight w:val="300"/>
        </w:trPr>
        <w:tc>
          <w:tcPr>
            <w:tcW w:w="3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3103EE"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3EE" w:rsidRPr="003103EE" w:rsidRDefault="003103EE" w:rsidP="003103EE">
            <w:pPr>
              <w:widowControl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3103EE">
              <w:rPr>
                <w:rFonts w:cs="宋体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B3D87" w:rsidRDefault="00CB3D87" w:rsidP="003734BA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F62EEC" w:rsidRDefault="00F62EEC" w:rsidP="003734BA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F62EEC" w:rsidRDefault="00F62EEC" w:rsidP="003734BA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F62EEC" w:rsidRDefault="00F62EEC" w:rsidP="003734BA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F62EEC" w:rsidRDefault="00F62EEC" w:rsidP="003734BA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F62EEC" w:rsidRDefault="00F62EEC" w:rsidP="003734BA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FB6D79" w:rsidRPr="003734BA" w:rsidRDefault="00FB6D79" w:rsidP="006F2D49">
      <w:pPr>
        <w:spacing w:line="5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734BA">
        <w:rPr>
          <w:rFonts w:ascii="黑体" w:eastAsia="黑体" w:hAnsi="黑体" w:hint="eastAsia"/>
          <w:sz w:val="32"/>
          <w:szCs w:val="32"/>
        </w:rPr>
        <w:lastRenderedPageBreak/>
        <w:t>四、政府信息公开行政复议、行政诉讼情况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00"/>
        <w:gridCol w:w="540"/>
        <w:gridCol w:w="580"/>
        <w:gridCol w:w="520"/>
        <w:gridCol w:w="540"/>
        <w:gridCol w:w="580"/>
        <w:gridCol w:w="560"/>
        <w:gridCol w:w="560"/>
        <w:gridCol w:w="600"/>
        <w:gridCol w:w="500"/>
        <w:gridCol w:w="540"/>
        <w:gridCol w:w="520"/>
        <w:gridCol w:w="580"/>
        <w:gridCol w:w="580"/>
        <w:gridCol w:w="1529"/>
      </w:tblGrid>
      <w:tr w:rsidR="005C0575" w:rsidRPr="005C0575" w:rsidTr="005E1DC8">
        <w:trPr>
          <w:trHeight w:val="285"/>
        </w:trPr>
        <w:tc>
          <w:tcPr>
            <w:tcW w:w="2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4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5C0575" w:rsidRPr="005C0575" w:rsidTr="005E1DC8">
        <w:trPr>
          <w:trHeight w:val="285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7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5C0575" w:rsidRPr="005C0575" w:rsidTr="005E1DC8">
        <w:trPr>
          <w:trHeight w:val="465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575" w:rsidRPr="005C0575" w:rsidRDefault="005C0575" w:rsidP="005C05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575" w:rsidRPr="005C0575" w:rsidRDefault="005C0575" w:rsidP="005C05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575" w:rsidRPr="005C0575" w:rsidRDefault="005C0575" w:rsidP="005C05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575" w:rsidRPr="005C0575" w:rsidRDefault="005C0575" w:rsidP="005C05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0575" w:rsidRPr="005C0575" w:rsidRDefault="005C0575" w:rsidP="005C05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5C0575" w:rsidRPr="005C0575" w:rsidTr="005E1DC8">
        <w:trPr>
          <w:trHeight w:val="28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973379" w:rsidP="005C057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03184C" w:rsidP="005C057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03184C" w:rsidP="005C057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03184C" w:rsidP="005C057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973379" w:rsidP="005C057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5C0575" w:rsidP="005C057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5C0575">
              <w:rPr>
                <w:rFonts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0575" w:rsidRPr="005C0575" w:rsidRDefault="0003184C" w:rsidP="005C057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C0575" w:rsidRDefault="005C0575" w:rsidP="00D53932">
      <w:pPr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391EBA" w:rsidRPr="003734BA" w:rsidRDefault="00C0394E" w:rsidP="00F80B4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734BA">
        <w:rPr>
          <w:rFonts w:ascii="黑体" w:eastAsia="黑体" w:hAnsi="黑体" w:hint="eastAsia"/>
          <w:sz w:val="32"/>
          <w:szCs w:val="32"/>
        </w:rPr>
        <w:t>五</w:t>
      </w:r>
      <w:r w:rsidR="00391EBA" w:rsidRPr="003734BA">
        <w:rPr>
          <w:rFonts w:ascii="黑体" w:eastAsia="黑体" w:hAnsi="黑体" w:hint="eastAsia"/>
          <w:sz w:val="32"/>
          <w:szCs w:val="32"/>
        </w:rPr>
        <w:t>、存在的问题与下一步工作计划</w:t>
      </w:r>
    </w:p>
    <w:p w:rsidR="00391EBA" w:rsidRDefault="00550BBD" w:rsidP="00973379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政府信息</w:t>
      </w:r>
      <w:r w:rsidR="00391EBA">
        <w:rPr>
          <w:rFonts w:ascii="Times New Roman" w:eastAsia="仿宋_GB2312" w:hAnsi="Times New Roman" w:hint="eastAsia"/>
          <w:sz w:val="32"/>
          <w:szCs w:val="32"/>
        </w:rPr>
        <w:t>公开工作是一个系统工程，涉及面广，专业性强，实效性要求高。就我省</w:t>
      </w:r>
      <w:r w:rsidR="00973379">
        <w:rPr>
          <w:rFonts w:ascii="Times New Roman" w:eastAsia="仿宋_GB2312" w:hAnsi="Times New Roman" w:hint="eastAsia"/>
          <w:sz w:val="32"/>
          <w:szCs w:val="32"/>
        </w:rPr>
        <w:t>中医药</w:t>
      </w:r>
      <w:r w:rsidR="00391EBA">
        <w:rPr>
          <w:rFonts w:ascii="Times New Roman" w:eastAsia="仿宋_GB2312" w:hAnsi="Times New Roman" w:hint="eastAsia"/>
          <w:sz w:val="32"/>
          <w:szCs w:val="32"/>
        </w:rPr>
        <w:t>系统而言，目前存在工作人手相对短缺</w:t>
      </w:r>
      <w:r w:rsidR="00973379">
        <w:rPr>
          <w:rFonts w:ascii="Times New Roman" w:eastAsia="仿宋_GB2312" w:hAnsi="Times New Roman" w:hint="eastAsia"/>
          <w:sz w:val="32"/>
          <w:szCs w:val="32"/>
        </w:rPr>
        <w:t>，业务能力偏低等问题。</w:t>
      </w:r>
      <w:r w:rsidR="00391EBA">
        <w:rPr>
          <w:rFonts w:ascii="Times New Roman" w:eastAsia="仿宋_GB2312" w:hAnsi="Times New Roman" w:hint="eastAsia"/>
          <w:sz w:val="32"/>
          <w:szCs w:val="32"/>
        </w:rPr>
        <w:t>湖南省</w:t>
      </w:r>
      <w:r w:rsidR="00973379">
        <w:rPr>
          <w:rFonts w:ascii="Times New Roman" w:eastAsia="仿宋_GB2312" w:hAnsi="Times New Roman" w:hint="eastAsia"/>
          <w:sz w:val="32"/>
          <w:szCs w:val="32"/>
        </w:rPr>
        <w:t>中医药管理局</w:t>
      </w:r>
      <w:r w:rsidR="00391EBA">
        <w:rPr>
          <w:rFonts w:ascii="Times New Roman" w:eastAsia="仿宋_GB2312" w:hAnsi="Times New Roman" w:hint="eastAsia"/>
          <w:sz w:val="32"/>
          <w:szCs w:val="32"/>
        </w:rPr>
        <w:t>将继续加强人员队伍建设，开展技术培训，加强督导，</w:t>
      </w:r>
      <w:r w:rsidR="00D53932">
        <w:rPr>
          <w:rFonts w:ascii="Times New Roman" w:eastAsia="仿宋_GB2312" w:hAnsi="Times New Roman" w:hint="eastAsia"/>
          <w:sz w:val="32"/>
          <w:szCs w:val="32"/>
        </w:rPr>
        <w:t>将</w:t>
      </w:r>
      <w:r>
        <w:rPr>
          <w:rFonts w:ascii="Times New Roman" w:eastAsia="仿宋_GB2312" w:hAnsi="Times New Roman" w:hint="eastAsia"/>
          <w:sz w:val="32"/>
          <w:szCs w:val="32"/>
        </w:rPr>
        <w:t>政府信息</w:t>
      </w:r>
      <w:r w:rsidR="00D53932">
        <w:rPr>
          <w:rFonts w:ascii="Times New Roman" w:eastAsia="仿宋_GB2312" w:hAnsi="Times New Roman" w:hint="eastAsia"/>
          <w:sz w:val="32"/>
          <w:szCs w:val="32"/>
        </w:rPr>
        <w:t>公开纳入绩效考核，</w:t>
      </w:r>
      <w:r w:rsidR="00391EBA">
        <w:rPr>
          <w:rFonts w:ascii="Times New Roman" w:eastAsia="仿宋_GB2312" w:hAnsi="Times New Roman" w:hint="eastAsia"/>
          <w:sz w:val="32"/>
          <w:szCs w:val="32"/>
        </w:rPr>
        <w:t>进一步促进</w:t>
      </w:r>
      <w:r w:rsidR="00973379">
        <w:rPr>
          <w:rFonts w:ascii="Times New Roman" w:eastAsia="仿宋_GB2312" w:hAnsi="Times New Roman" w:hint="eastAsia"/>
          <w:sz w:val="32"/>
          <w:szCs w:val="32"/>
        </w:rPr>
        <w:t>我局</w:t>
      </w:r>
      <w:r w:rsidR="00391EBA">
        <w:rPr>
          <w:rFonts w:ascii="Times New Roman" w:eastAsia="仿宋_GB2312" w:hAnsi="Times New Roman" w:hint="eastAsia"/>
          <w:sz w:val="32"/>
          <w:szCs w:val="32"/>
        </w:rPr>
        <w:t>政务公开工作更上一层楼。</w:t>
      </w:r>
    </w:p>
    <w:p w:rsidR="00391EBA" w:rsidRDefault="00391EBA" w:rsidP="00F80B43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同时，湖南省</w:t>
      </w:r>
      <w:r w:rsidR="00973379">
        <w:rPr>
          <w:rFonts w:ascii="Times New Roman" w:eastAsia="仿宋_GB2312" w:hAnsi="Times New Roman" w:hint="eastAsia"/>
          <w:sz w:val="32"/>
          <w:szCs w:val="32"/>
        </w:rPr>
        <w:t>中医药管理局</w:t>
      </w:r>
      <w:r>
        <w:rPr>
          <w:rFonts w:ascii="Times New Roman" w:eastAsia="仿宋_GB2312" w:hAnsi="Times New Roman" w:hint="eastAsia"/>
          <w:sz w:val="32"/>
          <w:szCs w:val="32"/>
        </w:rPr>
        <w:t>除积极参加全国</w:t>
      </w:r>
      <w:r w:rsidR="00973379">
        <w:rPr>
          <w:rFonts w:ascii="Times New Roman" w:eastAsia="仿宋_GB2312" w:hAnsi="Times New Roman" w:hint="eastAsia"/>
          <w:sz w:val="32"/>
          <w:szCs w:val="32"/>
        </w:rPr>
        <w:t>中医药</w:t>
      </w:r>
      <w:r>
        <w:rPr>
          <w:rFonts w:ascii="Times New Roman" w:eastAsia="仿宋_GB2312" w:hAnsi="Times New Roman" w:hint="eastAsia"/>
          <w:sz w:val="32"/>
          <w:szCs w:val="32"/>
        </w:rPr>
        <w:t>系统政务工作经验交流和培训外，还将积极参加由</w:t>
      </w:r>
      <w:r>
        <w:rPr>
          <w:rFonts w:ascii="仿宋_GB2312" w:eastAsia="仿宋_GB2312" w:hint="eastAsia"/>
          <w:sz w:val="32"/>
          <w:szCs w:val="32"/>
        </w:rPr>
        <w:t>省政务公开政务服务领导小组办公室举行的政务公开工作交流会，学习借鉴先进经验，促进本部门工作深入展开。</w:t>
      </w:r>
    </w:p>
    <w:p w:rsidR="000F1BB8" w:rsidRDefault="000F1BB8" w:rsidP="000F1BB8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同时，建议省里把政府网站管理实行统一归口管理，明确管理层级，加强交流学习，出台相关激励机制</w:t>
      </w:r>
    </w:p>
    <w:p w:rsidR="00B80C11" w:rsidRPr="003734BA" w:rsidRDefault="00B80C11" w:rsidP="00F80B43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3734BA">
        <w:rPr>
          <w:rFonts w:ascii="黑体" w:eastAsia="黑体" w:hAnsi="黑体" w:hint="eastAsia"/>
          <w:sz w:val="32"/>
          <w:szCs w:val="32"/>
        </w:rPr>
        <w:t>六、其他需要报告的事项</w:t>
      </w:r>
    </w:p>
    <w:p w:rsidR="00B80C11" w:rsidRPr="008C5E70" w:rsidRDefault="00B80C11" w:rsidP="00F80B43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8C5E7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无。</w:t>
      </w:r>
    </w:p>
    <w:bookmarkEnd w:id="0"/>
    <w:p w:rsidR="009C0D72" w:rsidRPr="00391EBA" w:rsidRDefault="009C0D72" w:rsidP="0043606C">
      <w:pPr>
        <w:spacing w:line="578" w:lineRule="exact"/>
        <w:rPr>
          <w:rFonts w:ascii="仿宋_GB2312" w:eastAsia="仿宋_GB2312"/>
          <w:sz w:val="32"/>
          <w:szCs w:val="32"/>
        </w:rPr>
      </w:pPr>
    </w:p>
    <w:p w:rsidR="009C0D72" w:rsidRPr="0043606C" w:rsidRDefault="009C0D72" w:rsidP="0043606C">
      <w:pPr>
        <w:spacing w:line="578" w:lineRule="exact"/>
        <w:rPr>
          <w:rFonts w:ascii="仿宋_GB2312" w:eastAsia="仿宋_GB2312"/>
          <w:sz w:val="32"/>
          <w:szCs w:val="32"/>
        </w:rPr>
      </w:pPr>
    </w:p>
    <w:p w:rsidR="009C0D72" w:rsidRPr="0043606C" w:rsidRDefault="009C0D72" w:rsidP="0043606C">
      <w:pPr>
        <w:spacing w:line="578" w:lineRule="exact"/>
        <w:rPr>
          <w:rFonts w:ascii="仿宋_GB2312" w:eastAsia="仿宋_GB2312"/>
          <w:sz w:val="32"/>
          <w:szCs w:val="32"/>
        </w:rPr>
      </w:pPr>
    </w:p>
    <w:sectPr w:rsidR="009C0D72" w:rsidRPr="0043606C" w:rsidSect="00A772E6"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47" w:rsidRDefault="005D3547" w:rsidP="000D1ECB">
      <w:r>
        <w:separator/>
      </w:r>
    </w:p>
  </w:endnote>
  <w:endnote w:type="continuationSeparator" w:id="0">
    <w:p w:rsidR="005D3547" w:rsidRDefault="005D3547" w:rsidP="000D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85346"/>
      <w:docPartObj>
        <w:docPartGallery w:val="Page Numbers (Bottom of Page)"/>
        <w:docPartUnique/>
      </w:docPartObj>
    </w:sdtPr>
    <w:sdtEndPr/>
    <w:sdtContent>
      <w:p w:rsidR="000D1ECB" w:rsidRDefault="00FD6886">
        <w:pPr>
          <w:pStyle w:val="a5"/>
          <w:jc w:val="center"/>
        </w:pPr>
        <w:r>
          <w:fldChar w:fldCharType="begin"/>
        </w:r>
        <w:r w:rsidR="000D1ECB">
          <w:instrText>PAGE   \* MERGEFORMAT</w:instrText>
        </w:r>
        <w:r>
          <w:fldChar w:fldCharType="separate"/>
        </w:r>
        <w:r w:rsidR="00AE08D8" w:rsidRPr="00AE08D8">
          <w:rPr>
            <w:noProof/>
            <w:lang w:val="zh-CN"/>
          </w:rPr>
          <w:t>2</w:t>
        </w:r>
        <w:r>
          <w:fldChar w:fldCharType="end"/>
        </w:r>
      </w:p>
    </w:sdtContent>
  </w:sdt>
  <w:p w:rsidR="000D1ECB" w:rsidRDefault="000D1E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47" w:rsidRDefault="005D3547" w:rsidP="000D1ECB">
      <w:r>
        <w:separator/>
      </w:r>
    </w:p>
  </w:footnote>
  <w:footnote w:type="continuationSeparator" w:id="0">
    <w:p w:rsidR="005D3547" w:rsidRDefault="005D3547" w:rsidP="000D1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FAA"/>
    <w:multiLevelType w:val="hybridMultilevel"/>
    <w:tmpl w:val="31061232"/>
    <w:lvl w:ilvl="0" w:tplc="E01ADE84">
      <w:start w:val="1"/>
      <w:numFmt w:val="decimal"/>
      <w:lvlText w:val="%1."/>
      <w:lvlJc w:val="left"/>
      <w:pPr>
        <w:ind w:left="1005" w:hanging="360"/>
      </w:pPr>
      <w:rPr>
        <w:rFonts w:ascii="楷体_GB2312" w:eastAsia="楷体_GB2312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258469CA"/>
    <w:multiLevelType w:val="hybridMultilevel"/>
    <w:tmpl w:val="774AD57E"/>
    <w:lvl w:ilvl="0" w:tplc="103A077C">
      <w:start w:val="1"/>
      <w:numFmt w:val="decimal"/>
      <w:lvlText w:val="%1."/>
      <w:lvlJc w:val="left"/>
      <w:pPr>
        <w:ind w:left="1618" w:hanging="975"/>
      </w:pPr>
      <w:rPr>
        <w:rFonts w:ascii="楷体_GB2312" w:eastAsia="楷体_GB2312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2B8839E6"/>
    <w:multiLevelType w:val="hybridMultilevel"/>
    <w:tmpl w:val="699A93A8"/>
    <w:lvl w:ilvl="0" w:tplc="961C1B6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>
    <w:nsid w:val="5FC26410"/>
    <w:multiLevelType w:val="hybridMultilevel"/>
    <w:tmpl w:val="A8404616"/>
    <w:lvl w:ilvl="0" w:tplc="5858A7BE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DA"/>
    <w:rsid w:val="0003184C"/>
    <w:rsid w:val="00067606"/>
    <w:rsid w:val="00077EB3"/>
    <w:rsid w:val="000D1ECB"/>
    <w:rsid w:val="000F1BB8"/>
    <w:rsid w:val="001125F4"/>
    <w:rsid w:val="0011530E"/>
    <w:rsid w:val="00175843"/>
    <w:rsid w:val="001A5319"/>
    <w:rsid w:val="002142CC"/>
    <w:rsid w:val="0023360F"/>
    <w:rsid w:val="00234488"/>
    <w:rsid w:val="00257B2D"/>
    <w:rsid w:val="002672A6"/>
    <w:rsid w:val="002C2B5F"/>
    <w:rsid w:val="003103EE"/>
    <w:rsid w:val="003114F0"/>
    <w:rsid w:val="00323D49"/>
    <w:rsid w:val="00356A4B"/>
    <w:rsid w:val="003620AF"/>
    <w:rsid w:val="00366194"/>
    <w:rsid w:val="003734BA"/>
    <w:rsid w:val="003757DF"/>
    <w:rsid w:val="00391049"/>
    <w:rsid w:val="00391EBA"/>
    <w:rsid w:val="003A21F7"/>
    <w:rsid w:val="003A4821"/>
    <w:rsid w:val="003D2A93"/>
    <w:rsid w:val="003E05BC"/>
    <w:rsid w:val="0043606C"/>
    <w:rsid w:val="004A5756"/>
    <w:rsid w:val="004C7B1E"/>
    <w:rsid w:val="00504F92"/>
    <w:rsid w:val="00550BBD"/>
    <w:rsid w:val="005624C5"/>
    <w:rsid w:val="005C0575"/>
    <w:rsid w:val="005D3547"/>
    <w:rsid w:val="005E1DC8"/>
    <w:rsid w:val="006029BF"/>
    <w:rsid w:val="00616C4E"/>
    <w:rsid w:val="006345BD"/>
    <w:rsid w:val="00646797"/>
    <w:rsid w:val="00657F3A"/>
    <w:rsid w:val="00661078"/>
    <w:rsid w:val="006768EE"/>
    <w:rsid w:val="006776AC"/>
    <w:rsid w:val="006947DA"/>
    <w:rsid w:val="006A3570"/>
    <w:rsid w:val="006D151E"/>
    <w:rsid w:val="006F2D49"/>
    <w:rsid w:val="00701031"/>
    <w:rsid w:val="0072108B"/>
    <w:rsid w:val="007456A1"/>
    <w:rsid w:val="00752349"/>
    <w:rsid w:val="00756C7E"/>
    <w:rsid w:val="007647FB"/>
    <w:rsid w:val="00765D6F"/>
    <w:rsid w:val="007954F3"/>
    <w:rsid w:val="007C393D"/>
    <w:rsid w:val="00815E98"/>
    <w:rsid w:val="0084317D"/>
    <w:rsid w:val="00846793"/>
    <w:rsid w:val="00846D02"/>
    <w:rsid w:val="00886C61"/>
    <w:rsid w:val="00887878"/>
    <w:rsid w:val="008A2E3E"/>
    <w:rsid w:val="008D2480"/>
    <w:rsid w:val="008E22A6"/>
    <w:rsid w:val="00937183"/>
    <w:rsid w:val="00973379"/>
    <w:rsid w:val="009844F4"/>
    <w:rsid w:val="009B65AC"/>
    <w:rsid w:val="009C0D72"/>
    <w:rsid w:val="009C4669"/>
    <w:rsid w:val="009E5113"/>
    <w:rsid w:val="00A10E60"/>
    <w:rsid w:val="00A14B23"/>
    <w:rsid w:val="00A52190"/>
    <w:rsid w:val="00A548F4"/>
    <w:rsid w:val="00A772E6"/>
    <w:rsid w:val="00AE08D8"/>
    <w:rsid w:val="00AE60F5"/>
    <w:rsid w:val="00B16168"/>
    <w:rsid w:val="00B467C8"/>
    <w:rsid w:val="00B80C11"/>
    <w:rsid w:val="00BC279D"/>
    <w:rsid w:val="00BC7E36"/>
    <w:rsid w:val="00BF7BA9"/>
    <w:rsid w:val="00C0394E"/>
    <w:rsid w:val="00C368CD"/>
    <w:rsid w:val="00C463F1"/>
    <w:rsid w:val="00C4719F"/>
    <w:rsid w:val="00C807D6"/>
    <w:rsid w:val="00C82D34"/>
    <w:rsid w:val="00C85BC1"/>
    <w:rsid w:val="00CB2C03"/>
    <w:rsid w:val="00CB3D87"/>
    <w:rsid w:val="00CC724E"/>
    <w:rsid w:val="00CF0907"/>
    <w:rsid w:val="00D12BE7"/>
    <w:rsid w:val="00D31D55"/>
    <w:rsid w:val="00D53932"/>
    <w:rsid w:val="00D606E2"/>
    <w:rsid w:val="00D71BEF"/>
    <w:rsid w:val="00D72F19"/>
    <w:rsid w:val="00D77046"/>
    <w:rsid w:val="00DD66C6"/>
    <w:rsid w:val="00E1152E"/>
    <w:rsid w:val="00EC7C0C"/>
    <w:rsid w:val="00F06118"/>
    <w:rsid w:val="00F1694B"/>
    <w:rsid w:val="00F22565"/>
    <w:rsid w:val="00F256AE"/>
    <w:rsid w:val="00F4005A"/>
    <w:rsid w:val="00F42EDF"/>
    <w:rsid w:val="00F62EEC"/>
    <w:rsid w:val="00F67929"/>
    <w:rsid w:val="00F80B43"/>
    <w:rsid w:val="00F9368A"/>
    <w:rsid w:val="00FA3CBB"/>
    <w:rsid w:val="00FB2F04"/>
    <w:rsid w:val="00FB6D79"/>
    <w:rsid w:val="00FD6886"/>
    <w:rsid w:val="00FD6AEF"/>
    <w:rsid w:val="00FF3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D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4A57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575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A10E60"/>
    <w:pPr>
      <w:ind w:firstLineChars="200" w:firstLine="420"/>
    </w:pPr>
  </w:style>
  <w:style w:type="paragraph" w:customStyle="1" w:styleId="CharCharCharChar">
    <w:name w:val="Char Char Char Char"/>
    <w:basedOn w:val="a"/>
    <w:autoRedefine/>
    <w:rsid w:val="009C0D72"/>
    <w:pPr>
      <w:adjustRightInd w:val="0"/>
      <w:snapToGrid w:val="0"/>
      <w:spacing w:line="360" w:lineRule="auto"/>
      <w:ind w:leftChars="40" w:left="96" w:firstLineChars="200" w:firstLine="200"/>
      <w:jc w:val="left"/>
    </w:pPr>
    <w:rPr>
      <w:rFonts w:ascii="Times New Roman" w:hAnsi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D1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1EC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1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1EC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D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4A57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575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A10E60"/>
    <w:pPr>
      <w:ind w:firstLineChars="200" w:firstLine="420"/>
    </w:pPr>
  </w:style>
  <w:style w:type="paragraph" w:customStyle="1" w:styleId="CharCharCharChar">
    <w:name w:val="Char Char Char Char"/>
    <w:basedOn w:val="a"/>
    <w:autoRedefine/>
    <w:rsid w:val="009C0D72"/>
    <w:pPr>
      <w:adjustRightInd w:val="0"/>
      <w:snapToGrid w:val="0"/>
      <w:spacing w:line="360" w:lineRule="auto"/>
      <w:ind w:leftChars="40" w:left="96" w:firstLineChars="200" w:firstLine="200"/>
      <w:jc w:val="left"/>
    </w:pPr>
    <w:rPr>
      <w:rFonts w:ascii="Times New Roman" w:hAnsi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D1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1EC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1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1EC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1649</Words>
  <Characters>1666</Characters>
  <Application>Microsoft Office Word</Application>
  <DocSecurity>0</DocSecurity>
  <Lines>333</Lines>
  <Paragraphs>331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张艳辉</dc:creator>
  <cp:lastModifiedBy>尹胜利</cp:lastModifiedBy>
  <cp:revision>64</cp:revision>
  <dcterms:created xsi:type="dcterms:W3CDTF">2020-02-03T02:08:00Z</dcterms:created>
  <dcterms:modified xsi:type="dcterms:W3CDTF">2021-05-06T07:59:00Z</dcterms:modified>
</cp:coreProperties>
</file>