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08A5C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附件5</w:t>
      </w:r>
    </w:p>
    <w:p w14:paraId="646C9218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西医学习中医培训班备案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工作审核要点</w:t>
      </w:r>
    </w:p>
    <w:p w14:paraId="49C5874E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0404"/>
        <w:gridCol w:w="2181"/>
      </w:tblGrid>
      <w:tr w14:paraId="7F8D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1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C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A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是否符合条件</w:t>
            </w:r>
          </w:p>
        </w:tc>
      </w:tr>
      <w:tr w14:paraId="7159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承办主体</w:t>
            </w: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1FA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县级及以上中医医院、市级及以上综合医院、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相关机构，且安排专门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职能部门负责培训实施。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0CD6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CC3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教学场地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和多媒体教学设备能够支持每个教学班独立开展线下集中面授。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796E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9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1.省内各级医疗卫生机构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非中医类别执业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（助理）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1A6F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0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每班人数不超过60人。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3DED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理论培训</w:t>
            </w: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B3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1.设置中医基础理论、中医诊断学、中药学、方剂学、中医内科学、中成药学、针灸推拿学7门必修课。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7AEC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7C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2.总学时不少于850学时，其中必修课不少于490学时，选修课不少于60学时。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3D17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8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9E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3.必修课和选修课通过线下集中面授开展。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C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405F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9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中医专业高级专业技术职务任职资格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每门课程由不超过2名师资全程教学。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C4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35C2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1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临床实践</w:t>
            </w: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3A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二级及以上中医医院或者开设有中医科室的三级综合医院、专科医院。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3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  <w:tr w14:paraId="45FC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8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27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2.具备中医类专业中级以上专业技术职务任职资格，满足带教需求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6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</w:p>
        </w:tc>
      </w:tr>
    </w:tbl>
    <w:p w14:paraId="1628F1FC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1.市县两级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卫生健康行政部门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对照上述要求审核辖区备案材料。</w:t>
      </w:r>
    </w:p>
    <w:p w14:paraId="4BC97AC9">
      <w:pPr>
        <w:pStyle w:val="9"/>
        <w:numPr>
          <w:ilvl w:val="0"/>
          <w:numId w:val="0"/>
        </w:numPr>
        <w:autoSpaceDE w:val="0"/>
        <w:autoSpaceDN w:val="0"/>
        <w:spacing w:line="400" w:lineRule="exact"/>
        <w:ind w:firstLine="56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2.上述要求为开班需达到的最低要求，需全部符合条件。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303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872EC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872EC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084E93"/>
    <w:rsid w:val="05B2003A"/>
    <w:rsid w:val="07C307D3"/>
    <w:rsid w:val="0AEF497D"/>
    <w:rsid w:val="0D4C612B"/>
    <w:rsid w:val="0E057A85"/>
    <w:rsid w:val="0E93371F"/>
    <w:rsid w:val="1E481A36"/>
    <w:rsid w:val="287A1946"/>
    <w:rsid w:val="375241BA"/>
    <w:rsid w:val="3CFB02D8"/>
    <w:rsid w:val="3E557F25"/>
    <w:rsid w:val="3F0A02C1"/>
    <w:rsid w:val="4317009E"/>
    <w:rsid w:val="483B267B"/>
    <w:rsid w:val="4A5A3949"/>
    <w:rsid w:val="54F90567"/>
    <w:rsid w:val="5D83481E"/>
    <w:rsid w:val="5D9407D9"/>
    <w:rsid w:val="5EAD4629"/>
    <w:rsid w:val="600677C1"/>
    <w:rsid w:val="62566B54"/>
    <w:rsid w:val="62831CF3"/>
    <w:rsid w:val="66D825CA"/>
    <w:rsid w:val="6949691B"/>
    <w:rsid w:val="735A1725"/>
    <w:rsid w:val="73DF61A9"/>
    <w:rsid w:val="7566083C"/>
    <w:rsid w:val="764F12E9"/>
    <w:rsid w:val="789C633C"/>
    <w:rsid w:val="7EA675FF"/>
    <w:rsid w:val="7FBDEAB8"/>
    <w:rsid w:val="AAFBEE9C"/>
    <w:rsid w:val="B97F4C18"/>
    <w:rsid w:val="BBFDC6D9"/>
    <w:rsid w:val="BF9E8051"/>
    <w:rsid w:val="D45F947B"/>
    <w:rsid w:val="D4B71DD7"/>
    <w:rsid w:val="F9FBD841"/>
    <w:rsid w:val="FF372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3187</Words>
  <Characters>3305</Characters>
  <Paragraphs>85</Paragraphs>
  <TotalTime>123</TotalTime>
  <ScaleCrop>false</ScaleCrop>
  <LinksUpToDate>false</LinksUpToDate>
  <CharactersWithSpaces>3786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2025-02-24T23:27:00Z</dcterms:created>
  <dc:creator>24069RA21C</dc:creator>
  <cp:lastModifiedBy>指间沙</cp:lastModifiedBy>
  <dcterms:modified xsi:type="dcterms:W3CDTF">2025-02-27T00:51:37Z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CB4979D2CA854976BA15162CA6C2F522_13</vt:lpwstr>
  </property>
  <property fmtid="{D5CDD505-2E9C-101B-9397-08002B2CF9AE}" pid="3" name="KSOTemplateDocerSaveRecord">
    <vt:lpwstr>eyJoZGlkIjoiYWIwMWJiM2FhNjVkMjZiZmYwNTNhZTY5MjIwNTg0OTciLCJ1c2VySWQiOiIzODUxOTM0ODEifQ==</vt:lpwstr>
  </property>
  <property fmtid="{D5CDD505-2E9C-101B-9397-08002B2CF9AE}" pid="4" name="KSOProductBuildVer">
    <vt:lpwstr>2052-12.1.0.20305</vt:lpwstr>
  </property>
</Properties>
</file>